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BB" w:rsidRDefault="00E764BB" w:rsidP="00A83F7A">
      <w:pPr>
        <w:jc w:val="both"/>
        <w:rPr>
          <w:sz w:val="24"/>
          <w:szCs w:val="24"/>
        </w:rPr>
      </w:pPr>
    </w:p>
    <w:p w:rsidR="00E764BB" w:rsidRDefault="00E764BB" w:rsidP="00A83F7A">
      <w:pPr>
        <w:jc w:val="both"/>
        <w:rPr>
          <w:sz w:val="24"/>
          <w:szCs w:val="24"/>
        </w:rPr>
      </w:pPr>
    </w:p>
    <w:p w:rsidR="00E764BB" w:rsidRDefault="00E764BB" w:rsidP="00A83F7A">
      <w:pPr>
        <w:jc w:val="both"/>
        <w:rPr>
          <w:sz w:val="24"/>
          <w:szCs w:val="24"/>
        </w:rPr>
      </w:pPr>
    </w:p>
    <w:p w:rsidR="00E764BB" w:rsidRDefault="00E764BB" w:rsidP="00A83F7A">
      <w:pPr>
        <w:jc w:val="both"/>
        <w:rPr>
          <w:sz w:val="24"/>
          <w:szCs w:val="24"/>
        </w:rPr>
      </w:pPr>
    </w:p>
    <w:p w:rsidR="00E764BB" w:rsidRDefault="00E764BB" w:rsidP="00A83F7A">
      <w:pPr>
        <w:jc w:val="both"/>
        <w:rPr>
          <w:sz w:val="24"/>
          <w:szCs w:val="24"/>
        </w:rPr>
      </w:pPr>
    </w:p>
    <w:p w:rsidR="00081E26" w:rsidRDefault="00E764BB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>December 8, 2010</w:t>
      </w:r>
    </w:p>
    <w:p w:rsidR="00081E26" w:rsidRDefault="00081E26" w:rsidP="00A83F7A">
      <w:pPr>
        <w:jc w:val="both"/>
        <w:rPr>
          <w:sz w:val="24"/>
          <w:szCs w:val="24"/>
        </w:rPr>
      </w:pPr>
    </w:p>
    <w:p w:rsidR="001F729A" w:rsidRPr="00150C24" w:rsidRDefault="00150C24" w:rsidP="00A83F7A">
      <w:pPr>
        <w:jc w:val="both"/>
        <w:rPr>
          <w:sz w:val="24"/>
          <w:szCs w:val="24"/>
        </w:rPr>
      </w:pPr>
      <w:r w:rsidRPr="00150C24">
        <w:rPr>
          <w:sz w:val="24"/>
          <w:szCs w:val="24"/>
        </w:rPr>
        <w:t>Deanna Keating</w:t>
      </w:r>
    </w:p>
    <w:p w:rsidR="001F729A" w:rsidRPr="00150C24" w:rsidRDefault="00150C24" w:rsidP="00A83F7A">
      <w:pPr>
        <w:jc w:val="both"/>
        <w:rPr>
          <w:sz w:val="24"/>
          <w:szCs w:val="24"/>
        </w:rPr>
      </w:pPr>
      <w:r w:rsidRPr="00150C24">
        <w:rPr>
          <w:sz w:val="24"/>
          <w:szCs w:val="24"/>
        </w:rPr>
        <w:t>BNY</w:t>
      </w:r>
      <w:r w:rsidR="00E55926">
        <w:rPr>
          <w:sz w:val="24"/>
          <w:szCs w:val="24"/>
        </w:rPr>
        <w:t xml:space="preserve"> </w:t>
      </w:r>
      <w:r w:rsidRPr="00150C24">
        <w:rPr>
          <w:sz w:val="24"/>
          <w:szCs w:val="24"/>
        </w:rPr>
        <w:t>M</w:t>
      </w:r>
      <w:r w:rsidR="00E55926">
        <w:rPr>
          <w:sz w:val="24"/>
          <w:szCs w:val="24"/>
        </w:rPr>
        <w:t>ellon</w:t>
      </w:r>
      <w:r w:rsidRPr="00150C24">
        <w:rPr>
          <w:sz w:val="24"/>
          <w:szCs w:val="24"/>
        </w:rPr>
        <w:t xml:space="preserve"> Asset Servicing</w:t>
      </w:r>
    </w:p>
    <w:p w:rsidR="00150C24" w:rsidRPr="00150C24" w:rsidRDefault="00150C24" w:rsidP="00A83F7A">
      <w:pPr>
        <w:jc w:val="both"/>
        <w:rPr>
          <w:sz w:val="24"/>
          <w:szCs w:val="24"/>
        </w:rPr>
      </w:pPr>
      <w:r w:rsidRPr="00150C24">
        <w:rPr>
          <w:sz w:val="24"/>
          <w:szCs w:val="24"/>
        </w:rPr>
        <w:t>135 Santilli Highway</w:t>
      </w:r>
    </w:p>
    <w:p w:rsidR="00150C24" w:rsidRPr="00150C24" w:rsidRDefault="00150C24" w:rsidP="00A83F7A">
      <w:pPr>
        <w:jc w:val="both"/>
        <w:rPr>
          <w:sz w:val="24"/>
          <w:szCs w:val="24"/>
        </w:rPr>
      </w:pPr>
      <w:r w:rsidRPr="00150C24">
        <w:rPr>
          <w:sz w:val="24"/>
          <w:szCs w:val="24"/>
        </w:rPr>
        <w:t>Everett MA 02149</w:t>
      </w:r>
    </w:p>
    <w:p w:rsidR="00081E26" w:rsidRDefault="00081E26" w:rsidP="00A83F7A">
      <w:pPr>
        <w:pStyle w:val="Heading1"/>
        <w:jc w:val="both"/>
      </w:pPr>
      <w:r>
        <w:t>Re:  Workbench User Authorization</w:t>
      </w:r>
    </w:p>
    <w:p w:rsidR="00081E26" w:rsidRDefault="00081E26" w:rsidP="00A83F7A">
      <w:pPr>
        <w:jc w:val="both"/>
      </w:pPr>
    </w:p>
    <w:p w:rsidR="00081E26" w:rsidRDefault="00081E26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17245A">
        <w:rPr>
          <w:sz w:val="24"/>
          <w:szCs w:val="24"/>
        </w:rPr>
        <w:t>Deanna</w:t>
      </w:r>
      <w:r>
        <w:rPr>
          <w:sz w:val="24"/>
          <w:szCs w:val="24"/>
        </w:rPr>
        <w:t>:</w:t>
      </w:r>
    </w:p>
    <w:p w:rsidR="00081E26" w:rsidRDefault="00081E26" w:rsidP="00A83F7A">
      <w:pPr>
        <w:jc w:val="both"/>
        <w:rPr>
          <w:sz w:val="24"/>
          <w:szCs w:val="24"/>
        </w:rPr>
      </w:pPr>
    </w:p>
    <w:p w:rsidR="00081E26" w:rsidRDefault="009C126A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behalf of </w:t>
      </w:r>
      <w:r w:rsidR="00150C24">
        <w:rPr>
          <w:sz w:val="24"/>
          <w:szCs w:val="24"/>
        </w:rPr>
        <w:t>The Lynde and Harry Bradley Foundation, Inc.</w:t>
      </w:r>
      <w:r>
        <w:rPr>
          <w:sz w:val="24"/>
          <w:szCs w:val="24"/>
        </w:rPr>
        <w:t xml:space="preserve">, </w:t>
      </w:r>
      <w:r w:rsidR="00081E26">
        <w:rPr>
          <w:sz w:val="24"/>
          <w:szCs w:val="24"/>
        </w:rPr>
        <w:t xml:space="preserve">I authorize </w:t>
      </w:r>
      <w:r w:rsidR="00150C24">
        <w:rPr>
          <w:sz w:val="24"/>
          <w:szCs w:val="24"/>
        </w:rPr>
        <w:t>Morgan Stanley Private Wealth Management</w:t>
      </w:r>
      <w:r>
        <w:rPr>
          <w:sz w:val="24"/>
          <w:szCs w:val="24"/>
        </w:rPr>
        <w:t xml:space="preserve"> to have</w:t>
      </w:r>
      <w:r w:rsidR="00081E26">
        <w:rPr>
          <w:sz w:val="24"/>
          <w:szCs w:val="24"/>
        </w:rPr>
        <w:t xml:space="preserve"> access to account</w:t>
      </w:r>
      <w:r w:rsidR="00150C24">
        <w:rPr>
          <w:sz w:val="24"/>
          <w:szCs w:val="24"/>
        </w:rPr>
        <w:t xml:space="preserve"> LHBF4001002 only</w:t>
      </w:r>
      <w:r w:rsidR="00081E26">
        <w:rPr>
          <w:sz w:val="24"/>
          <w:szCs w:val="24"/>
        </w:rPr>
        <w:t>.</w:t>
      </w:r>
    </w:p>
    <w:p w:rsidR="009C126A" w:rsidRDefault="009C126A" w:rsidP="00A83F7A">
      <w:pPr>
        <w:jc w:val="both"/>
        <w:rPr>
          <w:sz w:val="24"/>
          <w:szCs w:val="24"/>
        </w:rPr>
      </w:pPr>
    </w:p>
    <w:p w:rsidR="00081E26" w:rsidRDefault="00081E26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 w:rsidR="009C126A">
        <w:rPr>
          <w:sz w:val="24"/>
          <w:szCs w:val="24"/>
        </w:rPr>
        <w:t xml:space="preserve">the responsibility of </w:t>
      </w:r>
      <w:r w:rsidR="00E55926">
        <w:rPr>
          <w:sz w:val="24"/>
          <w:szCs w:val="24"/>
        </w:rPr>
        <w:t xml:space="preserve">Morgan Stanley </w:t>
      </w:r>
      <w:r>
        <w:rPr>
          <w:sz w:val="24"/>
          <w:szCs w:val="24"/>
        </w:rPr>
        <w:t xml:space="preserve">to identify to the appropriate </w:t>
      </w:r>
      <w:r w:rsidR="009C126A">
        <w:rPr>
          <w:sz w:val="24"/>
          <w:szCs w:val="24"/>
        </w:rPr>
        <w:t>The Bank of New York Mellon (“</w:t>
      </w:r>
      <w:r>
        <w:rPr>
          <w:sz w:val="24"/>
          <w:szCs w:val="24"/>
        </w:rPr>
        <w:t>BNY Mellon</w:t>
      </w:r>
      <w:r w:rsidR="009C126A">
        <w:rPr>
          <w:sz w:val="24"/>
          <w:szCs w:val="24"/>
        </w:rPr>
        <w:t>”)</w:t>
      </w:r>
      <w:r>
        <w:rPr>
          <w:sz w:val="24"/>
          <w:szCs w:val="24"/>
        </w:rPr>
        <w:t xml:space="preserve"> entity </w:t>
      </w:r>
      <w:r w:rsidR="009C126A">
        <w:rPr>
          <w:sz w:val="24"/>
          <w:szCs w:val="24"/>
        </w:rPr>
        <w:t>its</w:t>
      </w:r>
      <w:r>
        <w:rPr>
          <w:sz w:val="24"/>
          <w:szCs w:val="24"/>
        </w:rPr>
        <w:t xml:space="preserve"> users who will be granted access to the account identified above.  It is my understanding that </w:t>
      </w:r>
      <w:r w:rsidR="00E55926">
        <w:rPr>
          <w:sz w:val="24"/>
          <w:szCs w:val="24"/>
        </w:rPr>
        <w:t xml:space="preserve">BNY Mellon Asset Servicing and Morgan Stanley </w:t>
      </w:r>
      <w:r>
        <w:rPr>
          <w:sz w:val="24"/>
          <w:szCs w:val="24"/>
        </w:rPr>
        <w:t xml:space="preserve">will determine between them the appropriate </w:t>
      </w:r>
      <w:r w:rsidR="009C126A">
        <w:rPr>
          <w:sz w:val="24"/>
          <w:szCs w:val="24"/>
        </w:rPr>
        <w:t xml:space="preserve">BNY Mellon </w:t>
      </w:r>
      <w:r>
        <w:rPr>
          <w:sz w:val="24"/>
          <w:szCs w:val="24"/>
        </w:rPr>
        <w:t>entity to who</w:t>
      </w:r>
      <w:r w:rsidR="009C126A">
        <w:rPr>
          <w:sz w:val="24"/>
          <w:szCs w:val="24"/>
        </w:rPr>
        <w:t>m</w:t>
      </w:r>
      <w:r>
        <w:rPr>
          <w:sz w:val="24"/>
          <w:szCs w:val="24"/>
        </w:rPr>
        <w:t xml:space="preserve"> notice</w:t>
      </w:r>
      <w:r w:rsidR="009C126A">
        <w:rPr>
          <w:sz w:val="24"/>
          <w:szCs w:val="24"/>
        </w:rPr>
        <w:t>s</w:t>
      </w:r>
      <w:r>
        <w:rPr>
          <w:sz w:val="24"/>
          <w:szCs w:val="24"/>
        </w:rPr>
        <w:t xml:space="preserve"> shall be given and the p</w:t>
      </w:r>
      <w:r w:rsidR="00E55926">
        <w:rPr>
          <w:sz w:val="24"/>
          <w:szCs w:val="24"/>
        </w:rPr>
        <w:t xml:space="preserve">rocedures to be followed by Morgan Stanley </w:t>
      </w:r>
      <w:r w:rsidR="009C126A">
        <w:rPr>
          <w:sz w:val="24"/>
          <w:szCs w:val="24"/>
        </w:rPr>
        <w:t xml:space="preserve">and its </w:t>
      </w:r>
      <w:r w:rsidR="00E764BB">
        <w:rPr>
          <w:sz w:val="24"/>
          <w:szCs w:val="24"/>
        </w:rPr>
        <w:t>users</w:t>
      </w:r>
      <w:r w:rsidR="009C126A">
        <w:rPr>
          <w:sz w:val="24"/>
          <w:szCs w:val="24"/>
        </w:rPr>
        <w:t xml:space="preserve"> </w:t>
      </w:r>
      <w:r>
        <w:rPr>
          <w:sz w:val="24"/>
          <w:szCs w:val="24"/>
        </w:rPr>
        <w:t>in providing such notice</w:t>
      </w:r>
      <w:r w:rsidR="009C126A">
        <w:rPr>
          <w:sz w:val="24"/>
          <w:szCs w:val="24"/>
        </w:rPr>
        <w:t>s</w:t>
      </w:r>
      <w:r>
        <w:rPr>
          <w:sz w:val="24"/>
          <w:szCs w:val="24"/>
        </w:rPr>
        <w:t xml:space="preserve">.  </w:t>
      </w:r>
    </w:p>
    <w:p w:rsidR="00081E26" w:rsidRDefault="00081E26" w:rsidP="00A83F7A">
      <w:pPr>
        <w:jc w:val="both"/>
        <w:rPr>
          <w:sz w:val="24"/>
          <w:szCs w:val="24"/>
        </w:rPr>
      </w:pPr>
    </w:p>
    <w:p w:rsidR="00081E26" w:rsidRDefault="00081E26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understood that it is </w:t>
      </w:r>
      <w:r w:rsidR="00150C24">
        <w:rPr>
          <w:sz w:val="24"/>
          <w:szCs w:val="24"/>
        </w:rPr>
        <w:t>The Lynde and Harry Bradley Foundation Inc.</w:t>
      </w:r>
      <w:r>
        <w:rPr>
          <w:sz w:val="24"/>
          <w:szCs w:val="24"/>
        </w:rPr>
        <w:t xml:space="preserve">’s responsibility to inform </w:t>
      </w:r>
      <w:r w:rsidR="007C45AA">
        <w:rPr>
          <w:sz w:val="24"/>
          <w:szCs w:val="24"/>
        </w:rPr>
        <w:t xml:space="preserve">the designated </w:t>
      </w:r>
      <w:r>
        <w:rPr>
          <w:sz w:val="24"/>
          <w:szCs w:val="24"/>
        </w:rPr>
        <w:t xml:space="preserve">BNY Mellon </w:t>
      </w:r>
      <w:r w:rsidR="007C45AA">
        <w:rPr>
          <w:sz w:val="24"/>
          <w:szCs w:val="24"/>
        </w:rPr>
        <w:t>entity</w:t>
      </w:r>
      <w:r>
        <w:rPr>
          <w:sz w:val="24"/>
          <w:szCs w:val="24"/>
        </w:rPr>
        <w:t xml:space="preserve"> if the relationship with </w:t>
      </w:r>
      <w:r w:rsidR="00E55926">
        <w:rPr>
          <w:sz w:val="24"/>
          <w:szCs w:val="24"/>
        </w:rPr>
        <w:t xml:space="preserve">Morgan Stanley </w:t>
      </w:r>
      <w:r>
        <w:rPr>
          <w:sz w:val="24"/>
          <w:szCs w:val="24"/>
        </w:rPr>
        <w:t>is terminated</w:t>
      </w:r>
      <w:r w:rsidR="00A83F7A">
        <w:rPr>
          <w:sz w:val="24"/>
          <w:szCs w:val="24"/>
        </w:rPr>
        <w:t xml:space="preserve"> or if</w:t>
      </w:r>
      <w:r>
        <w:rPr>
          <w:sz w:val="24"/>
          <w:szCs w:val="24"/>
        </w:rPr>
        <w:t xml:space="preserve"> changes need to be made to </w:t>
      </w:r>
      <w:r w:rsidR="00E55926">
        <w:rPr>
          <w:sz w:val="24"/>
          <w:szCs w:val="24"/>
        </w:rPr>
        <w:t>Morgan Stanley</w:t>
      </w:r>
      <w:r>
        <w:rPr>
          <w:sz w:val="24"/>
          <w:szCs w:val="24"/>
        </w:rPr>
        <w:t>’s access.</w:t>
      </w:r>
      <w:r w:rsidR="00A83F7A">
        <w:rPr>
          <w:sz w:val="24"/>
          <w:szCs w:val="24"/>
        </w:rPr>
        <w:t xml:space="preserve">  It is also understood that it is </w:t>
      </w:r>
      <w:r w:rsidR="00E55926">
        <w:rPr>
          <w:sz w:val="24"/>
          <w:szCs w:val="24"/>
        </w:rPr>
        <w:t>Morgan Stanley</w:t>
      </w:r>
      <w:r w:rsidR="00A83F7A">
        <w:rPr>
          <w:sz w:val="24"/>
          <w:szCs w:val="24"/>
        </w:rPr>
        <w:t xml:space="preserve">’s responsibility to inform </w:t>
      </w:r>
      <w:r w:rsidR="007C45AA">
        <w:rPr>
          <w:sz w:val="24"/>
          <w:szCs w:val="24"/>
        </w:rPr>
        <w:t xml:space="preserve">the designated </w:t>
      </w:r>
      <w:r w:rsidR="00A83F7A">
        <w:rPr>
          <w:sz w:val="24"/>
          <w:szCs w:val="24"/>
        </w:rPr>
        <w:t xml:space="preserve">BNY Mellon </w:t>
      </w:r>
      <w:r w:rsidR="007C45AA">
        <w:rPr>
          <w:sz w:val="24"/>
          <w:szCs w:val="24"/>
        </w:rPr>
        <w:t>entity</w:t>
      </w:r>
      <w:r w:rsidR="00A83F7A">
        <w:rPr>
          <w:sz w:val="24"/>
          <w:szCs w:val="24"/>
        </w:rPr>
        <w:t xml:space="preserve"> if access by any of its </w:t>
      </w:r>
      <w:r w:rsidR="00E764BB">
        <w:rPr>
          <w:sz w:val="24"/>
          <w:szCs w:val="24"/>
        </w:rPr>
        <w:t>users</w:t>
      </w:r>
      <w:r w:rsidR="00A83F7A">
        <w:rPr>
          <w:sz w:val="24"/>
          <w:szCs w:val="24"/>
        </w:rPr>
        <w:t xml:space="preserve"> is to be terminated or changed in any manner.  It is further understood that, until </w:t>
      </w:r>
      <w:r w:rsidR="007C45AA">
        <w:rPr>
          <w:sz w:val="24"/>
          <w:szCs w:val="24"/>
        </w:rPr>
        <w:t xml:space="preserve">the designated </w:t>
      </w:r>
      <w:r w:rsidR="00A83F7A">
        <w:rPr>
          <w:sz w:val="24"/>
          <w:szCs w:val="24"/>
        </w:rPr>
        <w:t>BNY Mellon</w:t>
      </w:r>
      <w:r w:rsidR="007C45AA">
        <w:rPr>
          <w:sz w:val="24"/>
          <w:szCs w:val="24"/>
        </w:rPr>
        <w:t xml:space="preserve"> entity</w:t>
      </w:r>
      <w:r w:rsidR="00A83F7A">
        <w:rPr>
          <w:sz w:val="24"/>
          <w:szCs w:val="24"/>
        </w:rPr>
        <w:t xml:space="preserve"> receives a notice from </w:t>
      </w:r>
      <w:r w:rsidR="00E55926">
        <w:rPr>
          <w:sz w:val="24"/>
          <w:szCs w:val="24"/>
        </w:rPr>
        <w:t>The Lynde and Harry Bradley Foundation Inc.</w:t>
      </w:r>
      <w:r w:rsidR="00A83F7A">
        <w:rPr>
          <w:sz w:val="24"/>
          <w:szCs w:val="24"/>
        </w:rPr>
        <w:t xml:space="preserve"> or </w:t>
      </w:r>
      <w:r w:rsidR="00E55926">
        <w:rPr>
          <w:sz w:val="24"/>
          <w:szCs w:val="24"/>
        </w:rPr>
        <w:t>Morgan Stanley</w:t>
      </w:r>
      <w:r w:rsidR="00A83F7A">
        <w:rPr>
          <w:sz w:val="24"/>
          <w:szCs w:val="24"/>
        </w:rPr>
        <w:t>, as applicable, with respect to the termination or change in the access to the account</w:t>
      </w:r>
      <w:r w:rsidR="00E55926">
        <w:rPr>
          <w:sz w:val="24"/>
          <w:szCs w:val="24"/>
        </w:rPr>
        <w:t>(</w:t>
      </w:r>
      <w:r w:rsidR="00A83F7A">
        <w:rPr>
          <w:sz w:val="24"/>
          <w:szCs w:val="24"/>
        </w:rPr>
        <w:t>s</w:t>
      </w:r>
      <w:r w:rsidR="00E55926">
        <w:rPr>
          <w:sz w:val="24"/>
          <w:szCs w:val="24"/>
        </w:rPr>
        <w:t>)</w:t>
      </w:r>
      <w:r w:rsidR="00A83F7A">
        <w:rPr>
          <w:sz w:val="24"/>
          <w:szCs w:val="24"/>
        </w:rPr>
        <w:t xml:space="preserve"> by </w:t>
      </w:r>
      <w:r w:rsidR="00E55926">
        <w:rPr>
          <w:sz w:val="24"/>
          <w:szCs w:val="24"/>
        </w:rPr>
        <w:t>Morgan Stanley</w:t>
      </w:r>
      <w:r w:rsidR="00A83F7A">
        <w:rPr>
          <w:sz w:val="24"/>
          <w:szCs w:val="24"/>
        </w:rPr>
        <w:t xml:space="preserve">, BNY Mellon shall be entitled to rely on prior authorizations for access provided by </w:t>
      </w:r>
      <w:r w:rsidR="00E55926">
        <w:rPr>
          <w:sz w:val="24"/>
          <w:szCs w:val="24"/>
        </w:rPr>
        <w:t>The Lynde and Harry Bradley Foundation, Inc.</w:t>
      </w:r>
      <w:r w:rsidR="00A83F7A">
        <w:rPr>
          <w:sz w:val="24"/>
          <w:szCs w:val="24"/>
        </w:rPr>
        <w:t xml:space="preserve"> or </w:t>
      </w:r>
      <w:r w:rsidR="00E55926">
        <w:rPr>
          <w:sz w:val="24"/>
          <w:szCs w:val="24"/>
        </w:rPr>
        <w:t>Morgan Stanley</w:t>
      </w:r>
      <w:r w:rsidR="00A83F7A">
        <w:rPr>
          <w:sz w:val="24"/>
          <w:szCs w:val="24"/>
        </w:rPr>
        <w:t>, as applicable.</w:t>
      </w:r>
    </w:p>
    <w:p w:rsidR="00081E26" w:rsidRDefault="00081E26" w:rsidP="00A83F7A">
      <w:pPr>
        <w:jc w:val="both"/>
        <w:rPr>
          <w:sz w:val="24"/>
          <w:szCs w:val="24"/>
        </w:rPr>
      </w:pPr>
    </w:p>
    <w:p w:rsidR="00081E26" w:rsidRDefault="00081E26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>Please let me know if you have any questions.</w:t>
      </w:r>
    </w:p>
    <w:p w:rsidR="00081E26" w:rsidRDefault="00081E26" w:rsidP="00A83F7A">
      <w:pPr>
        <w:jc w:val="both"/>
        <w:rPr>
          <w:sz w:val="24"/>
          <w:szCs w:val="24"/>
        </w:rPr>
      </w:pPr>
    </w:p>
    <w:p w:rsidR="00081E26" w:rsidRDefault="00E764BB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E764BB" w:rsidRDefault="00E764BB" w:rsidP="00A83F7A">
      <w:pPr>
        <w:jc w:val="both"/>
        <w:rPr>
          <w:sz w:val="24"/>
          <w:szCs w:val="24"/>
        </w:rPr>
      </w:pPr>
    </w:p>
    <w:p w:rsidR="00E764BB" w:rsidRDefault="00E764BB" w:rsidP="00A83F7A">
      <w:pPr>
        <w:jc w:val="both"/>
        <w:rPr>
          <w:sz w:val="24"/>
          <w:szCs w:val="24"/>
        </w:rPr>
      </w:pPr>
    </w:p>
    <w:p w:rsidR="00E764BB" w:rsidRDefault="00E764BB" w:rsidP="00A83F7A">
      <w:pPr>
        <w:jc w:val="both"/>
        <w:rPr>
          <w:sz w:val="24"/>
          <w:szCs w:val="24"/>
        </w:rPr>
      </w:pPr>
    </w:p>
    <w:p w:rsidR="00081E26" w:rsidRDefault="00E764BB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>Cynthia K. Friauf</w:t>
      </w:r>
    </w:p>
    <w:p w:rsidR="00081E26" w:rsidRDefault="00E764BB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>Vice President for Finance</w:t>
      </w:r>
    </w:p>
    <w:p w:rsidR="00081E26" w:rsidRDefault="00E55926" w:rsidP="00A83F7A">
      <w:pPr>
        <w:jc w:val="both"/>
      </w:pPr>
      <w:r>
        <w:rPr>
          <w:sz w:val="24"/>
          <w:szCs w:val="24"/>
        </w:rPr>
        <w:t>The Lynde and Harry Bradley Foundation, Inc.</w:t>
      </w:r>
    </w:p>
    <w:sectPr w:rsidR="00081E26" w:rsidSect="00E764BB">
      <w:pgSz w:w="12240" w:h="15840"/>
      <w:pgMar w:top="1440" w:right="1800" w:bottom="1152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F729A"/>
    <w:rsid w:val="000219DE"/>
    <w:rsid w:val="00081E26"/>
    <w:rsid w:val="000F6348"/>
    <w:rsid w:val="00150C24"/>
    <w:rsid w:val="0017245A"/>
    <w:rsid w:val="001F729A"/>
    <w:rsid w:val="00435B46"/>
    <w:rsid w:val="00510334"/>
    <w:rsid w:val="007C45AA"/>
    <w:rsid w:val="008C4354"/>
    <w:rsid w:val="008D1E45"/>
    <w:rsid w:val="009C126A"/>
    <w:rsid w:val="00A153F7"/>
    <w:rsid w:val="00A83F7A"/>
    <w:rsid w:val="00D025EC"/>
    <w:rsid w:val="00E55926"/>
    <w:rsid w:val="00E764BB"/>
    <w:rsid w:val="00EE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EE7"/>
  </w:style>
  <w:style w:type="paragraph" w:styleId="Heading1">
    <w:name w:val="heading 1"/>
    <w:basedOn w:val="Normal"/>
    <w:next w:val="Normal"/>
    <w:qFormat/>
    <w:rsid w:val="00EE3E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E3EE7"/>
    <w:pPr>
      <w:keepNext/>
      <w:outlineLvl w:val="1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3EE7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alloonText">
    <w:name w:val="Balloon Text"/>
    <w:basedOn w:val="Normal"/>
    <w:semiHidden/>
    <w:rsid w:val="009C1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MFC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subject/>
  <dc:creator>MFC</dc:creator>
  <cp:keywords/>
  <dc:description/>
  <cp:lastModifiedBy> </cp:lastModifiedBy>
  <cp:revision>3</cp:revision>
  <cp:lastPrinted>2008-03-19T16:41:00Z</cp:lastPrinted>
  <dcterms:created xsi:type="dcterms:W3CDTF">2010-12-08T19:31:00Z</dcterms:created>
  <dcterms:modified xsi:type="dcterms:W3CDTF">2010-12-09T00:46:00Z</dcterms:modified>
</cp:coreProperties>
</file>